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C8A11" w14:textId="77777777" w:rsidR="005B330E" w:rsidRDefault="00D83C9D">
      <w:pPr>
        <w:pStyle w:val="Title"/>
      </w:pPr>
      <w:r>
        <w:t>Appendix E</w:t>
      </w:r>
    </w:p>
    <w:p w14:paraId="17C9AB29" w14:textId="77777777" w:rsidR="005B330E" w:rsidRDefault="00D83C9D">
      <w:pPr>
        <w:spacing w:after="180"/>
        <w:jc w:val="center"/>
      </w:pPr>
      <w:r>
        <w:rPr>
          <w:b/>
          <w:bCs/>
          <w:sz w:val="28"/>
          <w:szCs w:val="28"/>
        </w:rPr>
        <w:t>Companion Paper: Axial and Pelvic Imaging Patterns</w:t>
      </w:r>
    </w:p>
    <w:p w14:paraId="2EB7F679" w14:textId="77777777" w:rsidR="005B330E" w:rsidRDefault="00D83C9D">
      <w:pPr>
        <w:spacing w:after="360"/>
        <w:jc w:val="center"/>
      </w:pPr>
      <w:r>
        <w:rPr>
          <w:i/>
          <w:iCs/>
        </w:rPr>
        <w:t>Rationale for Separate Treatment</w:t>
      </w:r>
    </w:p>
    <w:p w14:paraId="62774ABC" w14:textId="77777777" w:rsidR="005B330E" w:rsidRDefault="00D83C9D">
      <w:pPr>
        <w:pStyle w:val="Heading1"/>
      </w:pPr>
      <w:r>
        <w:t>1. Rationale for Separation</w:t>
      </w:r>
    </w:p>
    <w:p w14:paraId="157AF2C7" w14:textId="77777777" w:rsidR="005B330E" w:rsidRDefault="00D83C9D">
      <w:pPr>
        <w:spacing w:after="180"/>
      </w:pPr>
      <w:r>
        <w:t>This manuscript has focused exclusively on peripheral joint and periarticular imaging patterns in early seronegative inflammatory arthritis. Axial skeleton imaging—including sacroiliac joints, spine, and pelvic/hip structures—is intentionally deferred to a companion paper for the following reasons:</w:t>
      </w:r>
    </w:p>
    <w:p w14:paraId="28C08606" w14:textId="77777777" w:rsidR="005B330E" w:rsidRDefault="00D83C9D">
      <w:pPr>
        <w:pStyle w:val="Heading2"/>
      </w:pPr>
      <w:r>
        <w:t>1.1 Distinct Lesion Taxonomy</w:t>
      </w:r>
    </w:p>
    <w:p w14:paraId="7CE263D3" w14:textId="77777777" w:rsidR="005B330E" w:rsidRDefault="00D83C9D">
      <w:pPr>
        <w:spacing w:after="180"/>
      </w:pPr>
      <w:r>
        <w:t>Axial inflammatory disease involves a fundamentally different lesion vocabulary: sacroiliitis (inflammatory, structural), syndesmophytes, corner inflammatory lesions (Romanus lesions), facet arthropathy, discovertebral changes, and entheseal ossification patterns (e.g., bridging syndesmophytes). These findings require different detection strategies, pattern recognition frameworks, and mimic considerations than peripheral erosions, synovitis, and enthesitis-adjacent changes.</w:t>
      </w:r>
    </w:p>
    <w:p w14:paraId="141C9914" w14:textId="77777777" w:rsidR="005B330E" w:rsidRDefault="00D83C9D">
      <w:pPr>
        <w:pStyle w:val="Heading2"/>
      </w:pPr>
      <w:r>
        <w:t>1.2 Different Modality Priorities</w:t>
      </w:r>
    </w:p>
    <w:p w14:paraId="28295ED2" w14:textId="77777777" w:rsidR="005B330E" w:rsidRDefault="00D83C9D">
      <w:pPr>
        <w:spacing w:after="180"/>
      </w:pPr>
      <w:r>
        <w:t>While peripheral disease follows an XR-first pathway with US-PD as the primary activity modality, axial spondyloarthritis imaging prioritizes MRI for early detection of sacroiliac and spinal inflammation. The ASAS (Assessment of SpondyloArthritis international Society) classification criteria explicitly incorporate MRI sacroiliitis as an imaging arm. Radiographic sacroiliitis (modified New York criteria) remains relevant but detects later structural change. This modality inversion—MRI-first rather than XR-f</w:t>
      </w:r>
      <w:r>
        <w:t>irst—requires a distinct escalation framework.</w:t>
      </w:r>
    </w:p>
    <w:p w14:paraId="56276DDD" w14:textId="77777777" w:rsidR="005B330E" w:rsidRDefault="00D83C9D">
      <w:pPr>
        <w:pStyle w:val="Heading2"/>
      </w:pPr>
      <w:r>
        <w:t>1.3 Separate Clinical Pathways</w:t>
      </w:r>
    </w:p>
    <w:p w14:paraId="41AE8D61" w14:textId="77777777" w:rsidR="005B330E" w:rsidRDefault="00D83C9D">
      <w:pPr>
        <w:spacing w:after="180"/>
      </w:pPr>
      <w:r>
        <w:t>Early axial spondyloarthritis often presents with inflammatory back pain, morning stiffness, and sacroiliac tenderness rather than peripheral joint swelling. While overlap exists (peripheral manifestations in axSpA, axial involvement in PsA), the diagnostic reasoning, referral patterns, and treatment considerations differ. Combining peripheral and axial frameworks in a single manuscript would dilute the operational focus and exceed practical length constraints.</w:t>
      </w:r>
    </w:p>
    <w:p w14:paraId="607290C3" w14:textId="77777777" w:rsidR="005B330E" w:rsidRDefault="00D83C9D">
      <w:pPr>
        <w:pStyle w:val="Heading2"/>
      </w:pPr>
      <w:r>
        <w:t>1.4 Biomechanical Considerations</w:t>
      </w:r>
    </w:p>
    <w:p w14:paraId="26287078" w14:textId="77777777" w:rsidR="005B330E" w:rsidRDefault="00D83C9D">
      <w:pPr>
        <w:spacing w:after="240"/>
      </w:pPr>
      <w:r>
        <w:t>Axial structures are subject to different biomechanical forces than peripheral joints. Degenerative mimics in the spine (facet arthrosis, disc degeneration, osteophytes) have different morphology and distribution than peripheral OA. The hip presents unique challenges as a transitional zone where both peripheral-type synovitis and axial-type enthesopathy/structural change may occur.</w:t>
      </w:r>
    </w:p>
    <w:p w14:paraId="786F6715" w14:textId="77777777" w:rsidR="005B330E" w:rsidRDefault="00D83C9D">
      <w:pPr>
        <w:pStyle w:val="Heading1"/>
      </w:pPr>
      <w:r>
        <w:t>2. Planned Companion Paper Scope</w:t>
      </w:r>
    </w:p>
    <w:p w14:paraId="64D2995F" w14:textId="77777777" w:rsidR="005B330E" w:rsidRDefault="00D83C9D">
      <w:pPr>
        <w:spacing w:after="120"/>
      </w:pPr>
      <w:r>
        <w:t>The companion manuscript, planned for submission approximately 6–12 weeks following acceptance of the current paper, will address:</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928"/>
        <w:gridCol w:w="7816"/>
      </w:tblGrid>
      <w:tr w:rsidR="005B330E" w14:paraId="114198C5" w14:textId="77777777">
        <w:tblPrEx>
          <w:tblCellMar>
            <w:top w:w="0" w:type="dxa"/>
            <w:bottom w:w="0" w:type="dxa"/>
          </w:tblCellMar>
        </w:tblPrEx>
        <w:trPr>
          <w:tblHeader/>
        </w:trPr>
        <w:tc>
          <w:tcPr>
            <w:tcW w:w="2800" w:type="dxa"/>
            <w:tcBorders>
              <w:top w:val="single" w:sz="1" w:space="0" w:color="AAAAAA"/>
              <w:left w:val="single" w:sz="1" w:space="0" w:color="AAAAAA"/>
              <w:bottom w:val="single" w:sz="1" w:space="0" w:color="AAAAAA"/>
              <w:right w:val="single" w:sz="1" w:space="0" w:color="AAAAAA"/>
            </w:tcBorders>
            <w:shd w:val="clear" w:color="auto" w:fill="D5E8F0"/>
          </w:tcPr>
          <w:p w14:paraId="7E52BE61" w14:textId="77777777" w:rsidR="005B330E" w:rsidRDefault="00D83C9D">
            <w:r>
              <w:rPr>
                <w:b/>
                <w:bCs/>
                <w:sz w:val="22"/>
                <w:szCs w:val="22"/>
              </w:rPr>
              <w:t>Topic Area</w:t>
            </w:r>
          </w:p>
        </w:tc>
        <w:tc>
          <w:tcPr>
            <w:tcW w:w="6200" w:type="dxa"/>
            <w:tcBorders>
              <w:top w:val="single" w:sz="1" w:space="0" w:color="AAAAAA"/>
              <w:left w:val="single" w:sz="1" w:space="0" w:color="AAAAAA"/>
              <w:bottom w:val="single" w:sz="1" w:space="0" w:color="AAAAAA"/>
              <w:right w:val="single" w:sz="1" w:space="0" w:color="AAAAAA"/>
            </w:tcBorders>
            <w:shd w:val="clear" w:color="auto" w:fill="D5E8F0"/>
          </w:tcPr>
          <w:p w14:paraId="475E8C85" w14:textId="77777777" w:rsidR="005B330E" w:rsidRDefault="00D83C9D">
            <w:r>
              <w:rPr>
                <w:b/>
                <w:bCs/>
                <w:sz w:val="22"/>
                <w:szCs w:val="22"/>
              </w:rPr>
              <w:t>Content</w:t>
            </w:r>
          </w:p>
        </w:tc>
      </w:tr>
      <w:tr w:rsidR="005B330E" w14:paraId="2C5D1190" w14:textId="77777777">
        <w:tblPrEx>
          <w:tblCellMar>
            <w:top w:w="0" w:type="dxa"/>
            <w:bottom w:w="0" w:type="dxa"/>
          </w:tblCellMar>
        </w:tblPrEx>
        <w:tc>
          <w:tcPr>
            <w:tcW w:w="0" w:type="auto"/>
            <w:tcBorders>
              <w:top w:val="single" w:sz="1" w:space="0" w:color="AAAAAA"/>
              <w:left w:val="single" w:sz="1" w:space="0" w:color="AAAAAA"/>
              <w:bottom w:val="single" w:sz="1" w:space="0" w:color="AAAAAA"/>
              <w:right w:val="single" w:sz="1" w:space="0" w:color="AAAAAA"/>
            </w:tcBorders>
          </w:tcPr>
          <w:p w14:paraId="1C8E77DD" w14:textId="77777777" w:rsidR="005B330E" w:rsidRDefault="00D83C9D">
            <w:r>
              <w:rPr>
                <w:b/>
                <w:bCs/>
                <w:sz w:val="21"/>
                <w:szCs w:val="21"/>
              </w:rPr>
              <w:t>Sacroiliac joints</w:t>
            </w:r>
          </w:p>
        </w:tc>
        <w:tc>
          <w:tcPr>
            <w:tcW w:w="0" w:type="auto"/>
            <w:tcBorders>
              <w:top w:val="single" w:sz="1" w:space="0" w:color="AAAAAA"/>
              <w:left w:val="single" w:sz="1" w:space="0" w:color="AAAAAA"/>
              <w:bottom w:val="single" w:sz="1" w:space="0" w:color="AAAAAA"/>
              <w:right w:val="single" w:sz="1" w:space="0" w:color="AAAAAA"/>
            </w:tcBorders>
          </w:tcPr>
          <w:p w14:paraId="209918E7" w14:textId="77777777" w:rsidR="005B330E" w:rsidRDefault="00D83C9D">
            <w:r>
              <w:rPr>
                <w:sz w:val="21"/>
                <w:szCs w:val="21"/>
              </w:rPr>
              <w:t>MRI sacroiliitis (BME, structural); radiographic sacroiliitis (modified New York criteria); grading systems; mimics (degenerative SI change, osteitis condensans ilii, insufficiency fractures)</w:t>
            </w:r>
          </w:p>
        </w:tc>
      </w:tr>
      <w:tr w:rsidR="005B330E" w14:paraId="451278AD" w14:textId="77777777">
        <w:tblPrEx>
          <w:tblCellMar>
            <w:top w:w="0" w:type="dxa"/>
            <w:bottom w:w="0" w:type="dxa"/>
          </w:tblCellMar>
        </w:tblPrEx>
        <w:tc>
          <w:tcPr>
            <w:tcW w:w="0" w:type="auto"/>
            <w:tcBorders>
              <w:top w:val="single" w:sz="1" w:space="0" w:color="AAAAAA"/>
              <w:left w:val="single" w:sz="1" w:space="0" w:color="AAAAAA"/>
              <w:bottom w:val="single" w:sz="1" w:space="0" w:color="AAAAAA"/>
              <w:right w:val="single" w:sz="1" w:space="0" w:color="AAAAAA"/>
            </w:tcBorders>
          </w:tcPr>
          <w:p w14:paraId="09778B45" w14:textId="77777777" w:rsidR="005B330E" w:rsidRDefault="00D83C9D">
            <w:r>
              <w:rPr>
                <w:b/>
                <w:bCs/>
                <w:sz w:val="21"/>
                <w:szCs w:val="21"/>
              </w:rPr>
              <w:t>Spine</w:t>
            </w:r>
          </w:p>
        </w:tc>
        <w:tc>
          <w:tcPr>
            <w:tcW w:w="0" w:type="auto"/>
            <w:tcBorders>
              <w:top w:val="single" w:sz="1" w:space="0" w:color="AAAAAA"/>
              <w:left w:val="single" w:sz="1" w:space="0" w:color="AAAAAA"/>
              <w:bottom w:val="single" w:sz="1" w:space="0" w:color="AAAAAA"/>
              <w:right w:val="single" w:sz="1" w:space="0" w:color="AAAAAA"/>
            </w:tcBorders>
          </w:tcPr>
          <w:p w14:paraId="4A269442" w14:textId="77777777" w:rsidR="005B330E" w:rsidRDefault="00D83C9D">
            <w:r>
              <w:rPr>
                <w:sz w:val="21"/>
                <w:szCs w:val="21"/>
              </w:rPr>
              <w:t>Corner inflammatory lesions; syndesmophytes vs. osteophytes; anterior spondylitis (Romanus); Andersson lesions; SPARCC and Berlin scoring concepts</w:t>
            </w:r>
          </w:p>
        </w:tc>
      </w:tr>
      <w:tr w:rsidR="005B330E" w14:paraId="5DD9D405" w14:textId="77777777">
        <w:tblPrEx>
          <w:tblCellMar>
            <w:top w:w="0" w:type="dxa"/>
            <w:bottom w:w="0" w:type="dxa"/>
          </w:tblCellMar>
        </w:tblPrEx>
        <w:tc>
          <w:tcPr>
            <w:tcW w:w="0" w:type="auto"/>
            <w:tcBorders>
              <w:top w:val="single" w:sz="1" w:space="0" w:color="AAAAAA"/>
              <w:left w:val="single" w:sz="1" w:space="0" w:color="AAAAAA"/>
              <w:bottom w:val="single" w:sz="1" w:space="0" w:color="AAAAAA"/>
              <w:right w:val="single" w:sz="1" w:space="0" w:color="AAAAAA"/>
            </w:tcBorders>
          </w:tcPr>
          <w:p w14:paraId="70AC505F" w14:textId="77777777" w:rsidR="005B330E" w:rsidRDefault="00D83C9D">
            <w:r>
              <w:rPr>
                <w:b/>
                <w:bCs/>
                <w:sz w:val="21"/>
                <w:szCs w:val="21"/>
              </w:rPr>
              <w:t>Hip</w:t>
            </w:r>
          </w:p>
        </w:tc>
        <w:tc>
          <w:tcPr>
            <w:tcW w:w="0" w:type="auto"/>
            <w:tcBorders>
              <w:top w:val="single" w:sz="1" w:space="0" w:color="AAAAAA"/>
              <w:left w:val="single" w:sz="1" w:space="0" w:color="AAAAAA"/>
              <w:bottom w:val="single" w:sz="1" w:space="0" w:color="AAAAAA"/>
              <w:right w:val="single" w:sz="1" w:space="0" w:color="AAAAAA"/>
            </w:tcBorders>
          </w:tcPr>
          <w:p w14:paraId="1D945050" w14:textId="77777777" w:rsidR="005B330E" w:rsidRDefault="00D83C9D">
            <w:r>
              <w:rPr>
                <w:sz w:val="21"/>
                <w:szCs w:val="21"/>
              </w:rPr>
              <w:t>Inflammatory hip involvement in SpA; synovitis vs. enthesopathy patterns; differentiation from OA and AVN; MRI vs. XR utility</w:t>
            </w:r>
          </w:p>
        </w:tc>
      </w:tr>
      <w:tr w:rsidR="005B330E" w14:paraId="4D194304" w14:textId="77777777">
        <w:tblPrEx>
          <w:tblCellMar>
            <w:top w:w="0" w:type="dxa"/>
            <w:bottom w:w="0" w:type="dxa"/>
          </w:tblCellMar>
        </w:tblPrEx>
        <w:tc>
          <w:tcPr>
            <w:tcW w:w="0" w:type="auto"/>
            <w:tcBorders>
              <w:top w:val="single" w:sz="1" w:space="0" w:color="AAAAAA"/>
              <w:left w:val="single" w:sz="1" w:space="0" w:color="AAAAAA"/>
              <w:bottom w:val="single" w:sz="1" w:space="0" w:color="AAAAAA"/>
              <w:right w:val="single" w:sz="1" w:space="0" w:color="AAAAAA"/>
            </w:tcBorders>
          </w:tcPr>
          <w:p w14:paraId="08A79E2F" w14:textId="77777777" w:rsidR="005B330E" w:rsidRDefault="00D83C9D">
            <w:r>
              <w:rPr>
                <w:b/>
                <w:bCs/>
                <w:sz w:val="21"/>
                <w:szCs w:val="21"/>
              </w:rPr>
              <w:lastRenderedPageBreak/>
              <w:t>Modality framework</w:t>
            </w:r>
          </w:p>
        </w:tc>
        <w:tc>
          <w:tcPr>
            <w:tcW w:w="0" w:type="auto"/>
            <w:tcBorders>
              <w:top w:val="single" w:sz="1" w:space="0" w:color="AAAAAA"/>
              <w:left w:val="single" w:sz="1" w:space="0" w:color="AAAAAA"/>
              <w:bottom w:val="single" w:sz="1" w:space="0" w:color="AAAAAA"/>
              <w:right w:val="single" w:sz="1" w:space="0" w:color="AAAAAA"/>
            </w:tcBorders>
          </w:tcPr>
          <w:p w14:paraId="216C26CD" w14:textId="77777777" w:rsidR="005B330E" w:rsidRDefault="00D83C9D">
            <w:r>
              <w:rPr>
                <w:sz w:val="21"/>
                <w:szCs w:val="21"/>
              </w:rPr>
              <w:t>MRI-first pathway for suspected axSpA; role of radiography for structural baseline and classification; CT for complex structural assessment</w:t>
            </w:r>
          </w:p>
        </w:tc>
      </w:tr>
      <w:tr w:rsidR="005B330E" w14:paraId="434C1DE2" w14:textId="77777777">
        <w:tblPrEx>
          <w:tblCellMar>
            <w:top w:w="0" w:type="dxa"/>
            <w:bottom w:w="0" w:type="dxa"/>
          </w:tblCellMar>
        </w:tblPrEx>
        <w:tc>
          <w:tcPr>
            <w:tcW w:w="0" w:type="auto"/>
            <w:tcBorders>
              <w:top w:val="single" w:sz="1" w:space="0" w:color="AAAAAA"/>
              <w:left w:val="single" w:sz="1" w:space="0" w:color="AAAAAA"/>
              <w:bottom w:val="single" w:sz="1" w:space="0" w:color="AAAAAA"/>
              <w:right w:val="single" w:sz="1" w:space="0" w:color="AAAAAA"/>
            </w:tcBorders>
          </w:tcPr>
          <w:p w14:paraId="5D2CC14D" w14:textId="77777777" w:rsidR="005B330E" w:rsidRDefault="00D83C9D">
            <w:r>
              <w:rPr>
                <w:b/>
                <w:bCs/>
                <w:sz w:val="21"/>
                <w:szCs w:val="21"/>
              </w:rPr>
              <w:t>Pattern dictionary</w:t>
            </w:r>
          </w:p>
        </w:tc>
        <w:tc>
          <w:tcPr>
            <w:tcW w:w="0" w:type="auto"/>
            <w:tcBorders>
              <w:top w:val="single" w:sz="1" w:space="0" w:color="AAAAAA"/>
              <w:left w:val="single" w:sz="1" w:space="0" w:color="AAAAAA"/>
              <w:bottom w:val="single" w:sz="1" w:space="0" w:color="AAAAAA"/>
              <w:right w:val="single" w:sz="1" w:space="0" w:color="AAAAAA"/>
            </w:tcBorders>
          </w:tcPr>
          <w:p w14:paraId="19008071" w14:textId="77777777" w:rsidR="005B330E" w:rsidRDefault="00D83C9D">
            <w:r>
              <w:rPr>
                <w:sz w:val="21"/>
                <w:szCs w:val="21"/>
              </w:rPr>
              <w:t>Axial-specific patterns: bilateral vs. unilateral SI involvement; ascending vs. skip spinal involvement; peripheral-axial overlap patterns</w:t>
            </w:r>
          </w:p>
        </w:tc>
      </w:tr>
      <w:tr w:rsidR="005B330E" w14:paraId="1E6CF3AB" w14:textId="77777777">
        <w:tblPrEx>
          <w:tblCellMar>
            <w:top w:w="0" w:type="dxa"/>
            <w:bottom w:w="0" w:type="dxa"/>
          </w:tblCellMar>
        </w:tblPrEx>
        <w:tc>
          <w:tcPr>
            <w:tcW w:w="0" w:type="auto"/>
            <w:tcBorders>
              <w:top w:val="single" w:sz="1" w:space="0" w:color="AAAAAA"/>
              <w:left w:val="single" w:sz="1" w:space="0" w:color="AAAAAA"/>
              <w:bottom w:val="single" w:sz="1" w:space="0" w:color="AAAAAA"/>
              <w:right w:val="single" w:sz="1" w:space="0" w:color="AAAAAA"/>
            </w:tcBorders>
          </w:tcPr>
          <w:p w14:paraId="5A232EBB" w14:textId="77777777" w:rsidR="005B330E" w:rsidRDefault="00D83C9D">
            <w:r>
              <w:rPr>
                <w:b/>
                <w:bCs/>
                <w:sz w:val="21"/>
                <w:szCs w:val="21"/>
              </w:rPr>
              <w:t>Classification context</w:t>
            </w:r>
          </w:p>
        </w:tc>
        <w:tc>
          <w:tcPr>
            <w:tcW w:w="0" w:type="auto"/>
            <w:tcBorders>
              <w:top w:val="single" w:sz="1" w:space="0" w:color="AAAAAA"/>
              <w:left w:val="single" w:sz="1" w:space="0" w:color="AAAAAA"/>
              <w:bottom w:val="single" w:sz="1" w:space="0" w:color="AAAAAA"/>
              <w:right w:val="single" w:sz="1" w:space="0" w:color="AAAAAA"/>
            </w:tcBorders>
          </w:tcPr>
          <w:p w14:paraId="12C4AEA7" w14:textId="77777777" w:rsidR="005B330E" w:rsidRDefault="00D83C9D">
            <w:r>
              <w:rPr>
                <w:sz w:val="21"/>
                <w:szCs w:val="21"/>
              </w:rPr>
              <w:t>ASAS criteria for axSpA; imaging arm vs. clinical arm; relationship of MRI findings to classification vs. diagnosis</w:t>
            </w:r>
          </w:p>
        </w:tc>
      </w:tr>
    </w:tbl>
    <w:p w14:paraId="54CCA709" w14:textId="77777777" w:rsidR="005B330E" w:rsidRDefault="00D83C9D">
      <w:pPr>
        <w:spacing w:before="180" w:after="240"/>
      </w:pPr>
      <w:r>
        <w:rPr>
          <w:b/>
          <w:bCs/>
        </w:rPr>
        <w:t xml:space="preserve">Table E1. </w:t>
      </w:r>
      <w:r>
        <w:t>Planned scope of companion paper on axial and pelvic imaging patterns</w:t>
      </w:r>
    </w:p>
    <w:p w14:paraId="4A30DBC9" w14:textId="77777777" w:rsidR="005B330E" w:rsidRDefault="00D83C9D">
      <w:pPr>
        <w:pStyle w:val="Heading1"/>
      </w:pPr>
      <w:r>
        <w:t>3. Bridging Concepts</w:t>
      </w:r>
    </w:p>
    <w:p w14:paraId="4F6C8DDA" w14:textId="77777777" w:rsidR="005B330E" w:rsidRDefault="00D83C9D">
      <w:pPr>
        <w:spacing w:after="180"/>
      </w:pPr>
      <w:r>
        <w:t>Several concepts from the current manuscript will carry forward to the axial companion paper:</w:t>
      </w:r>
    </w:p>
    <w:p w14:paraId="128ACA40" w14:textId="77777777" w:rsidR="005B330E" w:rsidRDefault="00D83C9D">
      <w:pPr>
        <w:pStyle w:val="ListParagraph"/>
        <w:numPr>
          <w:ilvl w:val="0"/>
          <w:numId w:val="2"/>
        </w:numPr>
        <w:spacing w:after="80"/>
      </w:pPr>
      <w:r>
        <w:rPr>
          <w:b/>
          <w:bCs/>
        </w:rPr>
        <w:t xml:space="preserve">Imaging-first phenotype anchoring: </w:t>
      </w:r>
      <w:r>
        <w:t>The same probability-updating framework applies, using axial imaging patterns to strengthen or weaken axSpA phenotype probability in patients with inflammatory back pain</w:t>
      </w:r>
    </w:p>
    <w:p w14:paraId="717DBBDC" w14:textId="77777777" w:rsidR="005B330E" w:rsidRDefault="00D83C9D">
      <w:pPr>
        <w:pStyle w:val="ListParagraph"/>
        <w:numPr>
          <w:ilvl w:val="0"/>
          <w:numId w:val="2"/>
        </w:numPr>
        <w:spacing w:after="80"/>
      </w:pPr>
      <w:r>
        <w:rPr>
          <w:b/>
          <w:bCs/>
        </w:rPr>
        <w:t xml:space="preserve">Question-driven escalation: </w:t>
      </w:r>
      <w:r>
        <w:t>Escalation from XR to MRI (or from limited to comprehensive MRI) should be driven by specific clinical questions, not reflexive imaging</w:t>
      </w:r>
    </w:p>
    <w:p w14:paraId="7F9CD31D" w14:textId="77777777" w:rsidR="005B330E" w:rsidRDefault="00D83C9D">
      <w:pPr>
        <w:pStyle w:val="ListParagraph"/>
        <w:numPr>
          <w:ilvl w:val="0"/>
          <w:numId w:val="2"/>
        </w:numPr>
        <w:spacing w:after="80"/>
      </w:pPr>
      <w:r>
        <w:rPr>
          <w:b/>
          <w:bCs/>
        </w:rPr>
        <w:t xml:space="preserve">Explicit mimic management: </w:t>
      </w:r>
      <w:r>
        <w:t>Axial mimics (degenerative SI change, DISH, mechanical back pain) require the same systematic checkpoint approach as peripheral mimics</w:t>
      </w:r>
    </w:p>
    <w:p w14:paraId="3E5C0AD4" w14:textId="77777777" w:rsidR="005B330E" w:rsidRDefault="00D83C9D">
      <w:pPr>
        <w:pStyle w:val="ListParagraph"/>
        <w:numPr>
          <w:ilvl w:val="0"/>
          <w:numId w:val="2"/>
        </w:numPr>
        <w:spacing w:after="80"/>
      </w:pPr>
      <w:r>
        <w:rPr>
          <w:b/>
          <w:bCs/>
        </w:rPr>
        <w:t xml:space="preserve">Structured reporting: </w:t>
      </w:r>
      <w:r>
        <w:t>The checklist approach (required elements, descriptor options, confidence language) will be adapted for axial imaging contexts</w:t>
      </w:r>
    </w:p>
    <w:p w14:paraId="6C183444" w14:textId="77777777" w:rsidR="005B330E" w:rsidRDefault="00D83C9D">
      <w:pPr>
        <w:pStyle w:val="ListParagraph"/>
        <w:numPr>
          <w:ilvl w:val="0"/>
          <w:numId w:val="2"/>
        </w:numPr>
        <w:spacing w:after="240"/>
      </w:pPr>
      <w:r>
        <w:rPr>
          <w:b/>
          <w:bCs/>
        </w:rPr>
        <w:t xml:space="preserve">Reproducibility emphasis: </w:t>
      </w:r>
      <w:r>
        <w:t>Deterministic processing and validation gating concepts apply equally to axial imaging interpretation</w:t>
      </w:r>
    </w:p>
    <w:p w14:paraId="7799F8F4" w14:textId="77777777" w:rsidR="005B330E" w:rsidRDefault="00D83C9D">
      <w:pPr>
        <w:pStyle w:val="Heading1"/>
      </w:pPr>
      <w:r>
        <w:t>4. Cross-Referencing Guidance</w:t>
      </w:r>
    </w:p>
    <w:p w14:paraId="68F0AA57" w14:textId="77777777" w:rsidR="005B330E" w:rsidRDefault="00D83C9D">
      <w:pPr>
        <w:spacing w:after="180"/>
      </w:pPr>
      <w:r>
        <w:t>For readers encountering patients with both peripheral and axial features:</w:t>
      </w:r>
    </w:p>
    <w:p w14:paraId="73C3B5A0" w14:textId="77777777" w:rsidR="005B330E" w:rsidRDefault="00D83C9D">
      <w:pPr>
        <w:pStyle w:val="ListParagraph"/>
        <w:numPr>
          <w:ilvl w:val="0"/>
          <w:numId w:val="3"/>
        </w:numPr>
        <w:spacing w:after="80"/>
      </w:pPr>
      <w:r>
        <w:rPr>
          <w:b/>
          <w:bCs/>
        </w:rPr>
        <w:t xml:space="preserve">Peripheral-dominant presentation with back pain: </w:t>
      </w:r>
      <w:r>
        <w:t>Apply the current manuscript's framework for peripheral imaging; consider axial imaging if inflammatory back pain criteria (ASAS) are met and axial findings would change management</w:t>
      </w:r>
    </w:p>
    <w:p w14:paraId="361BBC27" w14:textId="77777777" w:rsidR="005B330E" w:rsidRDefault="00D83C9D">
      <w:pPr>
        <w:pStyle w:val="ListParagraph"/>
        <w:numPr>
          <w:ilvl w:val="0"/>
          <w:numId w:val="3"/>
        </w:numPr>
        <w:spacing w:after="80"/>
      </w:pPr>
      <w:r>
        <w:rPr>
          <w:b/>
          <w:bCs/>
        </w:rPr>
        <w:t xml:space="preserve">Axial-dominant presentation with peripheral symptoms: </w:t>
      </w:r>
      <w:r>
        <w:t>The companion paper will address primary axial assessment; peripheral imaging as described here may clarify peripheral manifestations</w:t>
      </w:r>
    </w:p>
    <w:p w14:paraId="610DF5EA" w14:textId="77777777" w:rsidR="005B330E" w:rsidRDefault="00D83C9D">
      <w:pPr>
        <w:pStyle w:val="ListParagraph"/>
        <w:numPr>
          <w:ilvl w:val="0"/>
          <w:numId w:val="3"/>
        </w:numPr>
        <w:spacing w:after="80"/>
      </w:pPr>
      <w:r>
        <w:rPr>
          <w:b/>
          <w:bCs/>
        </w:rPr>
        <w:t xml:space="preserve">Mixed presentation (e.g., suspected PsA with axial involvement): </w:t>
      </w:r>
      <w:r>
        <w:t>Both frameworks may be applicable; phenotype anchoring should integrate peripheral and axial findings</w:t>
      </w:r>
    </w:p>
    <w:p w14:paraId="6F9FF25D" w14:textId="77777777" w:rsidR="005B330E" w:rsidRDefault="00D83C9D">
      <w:pPr>
        <w:pStyle w:val="ListParagraph"/>
        <w:numPr>
          <w:ilvl w:val="0"/>
          <w:numId w:val="3"/>
        </w:numPr>
        <w:spacing w:after="240"/>
      </w:pPr>
      <w:r>
        <w:rPr>
          <w:b/>
          <w:bCs/>
        </w:rPr>
        <w:t xml:space="preserve">Hip involvement: </w:t>
      </w:r>
      <w:r>
        <w:t>The companion paper will address hip imaging in detail given its transitional anatomy; for now, consider the hip as potentially requiring both peripheral-type (synovitis) and axial-type (enthesopathy, structural) assessment</w:t>
      </w:r>
    </w:p>
    <w:p w14:paraId="6621CA40" w14:textId="77777777" w:rsidR="005B330E" w:rsidRDefault="00D83C9D">
      <w:pPr>
        <w:pStyle w:val="Heading1"/>
      </w:pPr>
      <w:r>
        <w:t>5. Anticipated Timeline</w:t>
      </w:r>
    </w:p>
    <w:p w14:paraId="3958EBD1" w14:textId="77777777" w:rsidR="005B330E" w:rsidRDefault="00D83C9D">
      <w:pPr>
        <w:spacing w:after="120"/>
      </w:pPr>
      <w:r>
        <w:t>The companion paper is in preparation with the following anticipated milestones:</w:t>
      </w:r>
    </w:p>
    <w:p w14:paraId="235B805A" w14:textId="77777777" w:rsidR="005B330E" w:rsidRDefault="00D83C9D">
      <w:pPr>
        <w:pStyle w:val="ListParagraph"/>
        <w:numPr>
          <w:ilvl w:val="0"/>
          <w:numId w:val="2"/>
        </w:numPr>
        <w:spacing w:after="60"/>
      </w:pPr>
      <w:r>
        <w:rPr>
          <w:b/>
          <w:bCs/>
        </w:rPr>
        <w:t xml:space="preserve">Manuscript drafting: </w:t>
      </w:r>
      <w:r>
        <w:t>In progress</w:t>
      </w:r>
    </w:p>
    <w:p w14:paraId="0857C4DB" w14:textId="77777777" w:rsidR="005B330E" w:rsidRDefault="00D83C9D">
      <w:pPr>
        <w:pStyle w:val="ListParagraph"/>
        <w:numPr>
          <w:ilvl w:val="0"/>
          <w:numId w:val="2"/>
        </w:numPr>
        <w:spacing w:after="60"/>
      </w:pPr>
      <w:r>
        <w:rPr>
          <w:b/>
          <w:bCs/>
        </w:rPr>
        <w:t xml:space="preserve">Internal review: </w:t>
      </w:r>
      <w:r>
        <w:t>4–6 weeks following current manuscript acceptance</w:t>
      </w:r>
    </w:p>
    <w:p w14:paraId="2A27B5F7" w14:textId="77777777" w:rsidR="005B330E" w:rsidRDefault="00D83C9D">
      <w:pPr>
        <w:pStyle w:val="ListParagraph"/>
        <w:numPr>
          <w:ilvl w:val="0"/>
          <w:numId w:val="2"/>
        </w:numPr>
        <w:spacing w:after="60"/>
      </w:pPr>
      <w:r>
        <w:rPr>
          <w:b/>
          <w:bCs/>
        </w:rPr>
        <w:t xml:space="preserve">Target submission: </w:t>
      </w:r>
      <w:r>
        <w:t>6–12 weeks following current manuscript acceptance</w:t>
      </w:r>
    </w:p>
    <w:p w14:paraId="507C853E" w14:textId="77777777" w:rsidR="005B330E" w:rsidRDefault="00D83C9D">
      <w:pPr>
        <w:pStyle w:val="ListParagraph"/>
        <w:numPr>
          <w:ilvl w:val="0"/>
          <w:numId w:val="2"/>
        </w:numPr>
        <w:spacing w:after="180"/>
      </w:pPr>
      <w:r>
        <w:rPr>
          <w:b/>
          <w:bCs/>
        </w:rPr>
        <w:t xml:space="preserve">Target venue: </w:t>
      </w:r>
      <w:r>
        <w:t>Same or related journal to facilitate cross-referencing</w:t>
      </w:r>
    </w:p>
    <w:p w14:paraId="5410846C" w14:textId="77777777" w:rsidR="005B330E" w:rsidRDefault="00D83C9D">
      <w:pPr>
        <w:spacing w:after="180"/>
      </w:pPr>
      <w:r>
        <w:t>The two manuscripts are designed to function as complementary components of a comprehensive imaging framework for early seronegative inflammatory arthritis, addressing peripheral and axial presentations with consistent methodology and shared conceptual foundations.</w:t>
      </w:r>
    </w:p>
    <w:p w14:paraId="18B50877" w14:textId="77777777" w:rsidR="005B330E" w:rsidRDefault="00D83C9D">
      <w:pPr>
        <w:shd w:val="clear" w:color="auto" w:fill="F5F5F5"/>
        <w:spacing w:before="240" w:after="120"/>
        <w:ind w:left="360" w:right="360"/>
      </w:pPr>
      <w:r>
        <w:rPr>
          <w:b/>
          <w:bCs/>
          <w:i/>
          <w:iCs/>
        </w:rPr>
        <w:lastRenderedPageBreak/>
        <w:t xml:space="preserve">Note to reviewers: </w:t>
      </w:r>
      <w:r>
        <w:rPr>
          <w:i/>
          <w:iCs/>
        </w:rPr>
        <w:t>This appendix serves as a placeholder and rationale statement. It may be condensed or removed in the final publication depending on editorial preference and companion paper status at the time of acceptance.</w:t>
      </w:r>
    </w:p>
    <w:sectPr w:rsidR="005B330E">
      <w:headerReference w:type="default" r:id="rId7"/>
      <w:footerReference w:type="default" r:id="rId8"/>
      <w:pgSz w:w="11906" w:h="16838"/>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D048C" w14:textId="77777777" w:rsidR="00D83C9D" w:rsidRDefault="00D83C9D">
      <w:r>
        <w:separator/>
      </w:r>
    </w:p>
  </w:endnote>
  <w:endnote w:type="continuationSeparator" w:id="0">
    <w:p w14:paraId="0D8D841C" w14:textId="77777777" w:rsidR="00D83C9D" w:rsidRDefault="00D83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D4115" w14:textId="77777777" w:rsidR="005B330E" w:rsidRDefault="00D83C9D">
    <w:pPr>
      <w:jc w:val="center"/>
    </w:pPr>
    <w:r>
      <w:rPr>
        <w:sz w:val="20"/>
        <w:szCs w:val="20"/>
      </w:rPr>
      <w:t>E-</w:t>
    </w:r>
    <w:r>
      <w:rPr>
        <w:sz w:val="20"/>
        <w:szCs w:val="20"/>
      </w:rPr>
      <w:fldChar w:fldCharType="begin"/>
    </w:r>
    <w:r>
      <w:rPr>
        <w:sz w:val="20"/>
        <w:szCs w:val="20"/>
      </w:rPr>
      <w:instrText>PAGE</w:instrText>
    </w:r>
    <w:r>
      <w:rPr>
        <w:sz w:val="20"/>
        <w:szCs w:val="20"/>
      </w:rPr>
      <w:fldChar w:fldCharType="separate"/>
    </w:r>
    <w:r w:rsidR="006137AB">
      <w:rPr>
        <w:noProof/>
        <w:sz w:val="20"/>
        <w:szCs w:val="20"/>
      </w:rPr>
      <w:t>1</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17E2C" w14:textId="77777777" w:rsidR="00D83C9D" w:rsidRDefault="00D83C9D">
      <w:r>
        <w:separator/>
      </w:r>
    </w:p>
  </w:footnote>
  <w:footnote w:type="continuationSeparator" w:id="0">
    <w:p w14:paraId="1DDEC24A" w14:textId="77777777" w:rsidR="00D83C9D" w:rsidRDefault="00D83C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89583" w14:textId="77777777" w:rsidR="005B330E" w:rsidRDefault="00D83C9D">
    <w:pPr>
      <w:jc w:val="right"/>
    </w:pPr>
    <w:r>
      <w:rPr>
        <w:i/>
        <w:iCs/>
        <w:sz w:val="20"/>
        <w:szCs w:val="20"/>
      </w:rPr>
      <w:t>Appendix E — Companion Paper Pointer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40210C"/>
    <w:multiLevelType w:val="hybridMultilevel"/>
    <w:tmpl w:val="393E768A"/>
    <w:lvl w:ilvl="0" w:tplc="25D6DB86">
      <w:start w:val="1"/>
      <w:numFmt w:val="bullet"/>
      <w:lvlText w:val="●"/>
      <w:lvlJc w:val="left"/>
      <w:pPr>
        <w:ind w:left="720" w:hanging="360"/>
      </w:pPr>
    </w:lvl>
    <w:lvl w:ilvl="1" w:tplc="55EE2198">
      <w:start w:val="1"/>
      <w:numFmt w:val="bullet"/>
      <w:lvlText w:val="○"/>
      <w:lvlJc w:val="left"/>
      <w:pPr>
        <w:ind w:left="1440" w:hanging="360"/>
      </w:pPr>
    </w:lvl>
    <w:lvl w:ilvl="2" w:tplc="403A68D2">
      <w:start w:val="1"/>
      <w:numFmt w:val="bullet"/>
      <w:lvlText w:val="■"/>
      <w:lvlJc w:val="left"/>
      <w:pPr>
        <w:ind w:left="2160" w:hanging="360"/>
      </w:pPr>
    </w:lvl>
    <w:lvl w:ilvl="3" w:tplc="DA7EAF50">
      <w:start w:val="1"/>
      <w:numFmt w:val="bullet"/>
      <w:lvlText w:val="●"/>
      <w:lvlJc w:val="left"/>
      <w:pPr>
        <w:ind w:left="2880" w:hanging="360"/>
      </w:pPr>
    </w:lvl>
    <w:lvl w:ilvl="4" w:tplc="2834A2A6">
      <w:start w:val="1"/>
      <w:numFmt w:val="bullet"/>
      <w:lvlText w:val="○"/>
      <w:lvlJc w:val="left"/>
      <w:pPr>
        <w:ind w:left="3600" w:hanging="360"/>
      </w:pPr>
    </w:lvl>
    <w:lvl w:ilvl="5" w:tplc="51DE17D6">
      <w:start w:val="1"/>
      <w:numFmt w:val="bullet"/>
      <w:lvlText w:val="■"/>
      <w:lvlJc w:val="left"/>
      <w:pPr>
        <w:ind w:left="4320" w:hanging="360"/>
      </w:pPr>
    </w:lvl>
    <w:lvl w:ilvl="6" w:tplc="B5389A9A">
      <w:start w:val="1"/>
      <w:numFmt w:val="bullet"/>
      <w:lvlText w:val="●"/>
      <w:lvlJc w:val="left"/>
      <w:pPr>
        <w:ind w:left="5040" w:hanging="360"/>
      </w:pPr>
    </w:lvl>
    <w:lvl w:ilvl="7" w:tplc="812CF6C6">
      <w:start w:val="1"/>
      <w:numFmt w:val="bullet"/>
      <w:lvlText w:val="●"/>
      <w:lvlJc w:val="left"/>
      <w:pPr>
        <w:ind w:left="5760" w:hanging="360"/>
      </w:pPr>
    </w:lvl>
    <w:lvl w:ilvl="8" w:tplc="A4087394">
      <w:start w:val="1"/>
      <w:numFmt w:val="bullet"/>
      <w:lvlText w:val="●"/>
      <w:lvlJc w:val="left"/>
      <w:pPr>
        <w:ind w:left="6480" w:hanging="360"/>
      </w:pPr>
    </w:lvl>
  </w:abstractNum>
  <w:abstractNum w:abstractNumId="1" w15:restartNumberingAfterBreak="0">
    <w:nsid w:val="4AD2181A"/>
    <w:multiLevelType w:val="hybridMultilevel"/>
    <w:tmpl w:val="B7025678"/>
    <w:lvl w:ilvl="0" w:tplc="9F8C3882">
      <w:start w:val="1"/>
      <w:numFmt w:val="bullet"/>
      <w:lvlText w:val="•"/>
      <w:lvlJc w:val="left"/>
      <w:pPr>
        <w:ind w:left="720" w:hanging="360"/>
      </w:pPr>
    </w:lvl>
    <w:lvl w:ilvl="1" w:tplc="2DBAC7BE">
      <w:numFmt w:val="decimal"/>
      <w:lvlText w:val=""/>
      <w:lvlJc w:val="left"/>
    </w:lvl>
    <w:lvl w:ilvl="2" w:tplc="4C5CD07A">
      <w:numFmt w:val="decimal"/>
      <w:lvlText w:val=""/>
      <w:lvlJc w:val="left"/>
    </w:lvl>
    <w:lvl w:ilvl="3" w:tplc="6C02E236">
      <w:numFmt w:val="decimal"/>
      <w:lvlText w:val=""/>
      <w:lvlJc w:val="left"/>
    </w:lvl>
    <w:lvl w:ilvl="4" w:tplc="DA52251E">
      <w:numFmt w:val="decimal"/>
      <w:lvlText w:val=""/>
      <w:lvlJc w:val="left"/>
    </w:lvl>
    <w:lvl w:ilvl="5" w:tplc="4DF8A69A">
      <w:numFmt w:val="decimal"/>
      <w:lvlText w:val=""/>
      <w:lvlJc w:val="left"/>
    </w:lvl>
    <w:lvl w:ilvl="6" w:tplc="F286AAFC">
      <w:numFmt w:val="decimal"/>
      <w:lvlText w:val=""/>
      <w:lvlJc w:val="left"/>
    </w:lvl>
    <w:lvl w:ilvl="7" w:tplc="2B0A885A">
      <w:numFmt w:val="decimal"/>
      <w:lvlText w:val=""/>
      <w:lvlJc w:val="left"/>
    </w:lvl>
    <w:lvl w:ilvl="8" w:tplc="77A8C452">
      <w:numFmt w:val="decimal"/>
      <w:lvlText w:val=""/>
      <w:lvlJc w:val="left"/>
    </w:lvl>
  </w:abstractNum>
  <w:abstractNum w:abstractNumId="2" w15:restartNumberingAfterBreak="0">
    <w:nsid w:val="4E7E7D98"/>
    <w:multiLevelType w:val="hybridMultilevel"/>
    <w:tmpl w:val="19A65AA4"/>
    <w:lvl w:ilvl="0" w:tplc="C080806C">
      <w:start w:val="1"/>
      <w:numFmt w:val="decimal"/>
      <w:lvlText w:val="%1."/>
      <w:lvlJc w:val="left"/>
      <w:pPr>
        <w:ind w:left="720" w:hanging="360"/>
      </w:pPr>
    </w:lvl>
    <w:lvl w:ilvl="1" w:tplc="4F2A7646">
      <w:numFmt w:val="decimal"/>
      <w:lvlText w:val=""/>
      <w:lvlJc w:val="left"/>
    </w:lvl>
    <w:lvl w:ilvl="2" w:tplc="C51EA458">
      <w:numFmt w:val="decimal"/>
      <w:lvlText w:val=""/>
      <w:lvlJc w:val="left"/>
    </w:lvl>
    <w:lvl w:ilvl="3" w:tplc="630C3D1E">
      <w:numFmt w:val="decimal"/>
      <w:lvlText w:val=""/>
      <w:lvlJc w:val="left"/>
    </w:lvl>
    <w:lvl w:ilvl="4" w:tplc="F2764494">
      <w:numFmt w:val="decimal"/>
      <w:lvlText w:val=""/>
      <w:lvlJc w:val="left"/>
    </w:lvl>
    <w:lvl w:ilvl="5" w:tplc="4E5EC8E2">
      <w:numFmt w:val="decimal"/>
      <w:lvlText w:val=""/>
      <w:lvlJc w:val="left"/>
    </w:lvl>
    <w:lvl w:ilvl="6" w:tplc="051E9D12">
      <w:numFmt w:val="decimal"/>
      <w:lvlText w:val=""/>
      <w:lvlJc w:val="left"/>
    </w:lvl>
    <w:lvl w:ilvl="7" w:tplc="351E114A">
      <w:numFmt w:val="decimal"/>
      <w:lvlText w:val=""/>
      <w:lvlJc w:val="left"/>
    </w:lvl>
    <w:lvl w:ilvl="8" w:tplc="C058A2FC">
      <w:numFmt w:val="decimal"/>
      <w:lvlText w:val=""/>
      <w:lvlJc w:val="left"/>
    </w:lvl>
  </w:abstractNum>
  <w:num w:numId="1" w16cid:durableId="19085710">
    <w:abstractNumId w:val="0"/>
    <w:lvlOverride w:ilvl="0">
      <w:startOverride w:val="1"/>
    </w:lvlOverride>
  </w:num>
  <w:num w:numId="2" w16cid:durableId="210925975">
    <w:abstractNumId w:val="1"/>
    <w:lvlOverride w:ilvl="0">
      <w:startOverride w:val="1"/>
    </w:lvlOverride>
  </w:num>
  <w:num w:numId="3" w16cid:durableId="1513757401">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30E"/>
    <w:rsid w:val="005B330E"/>
    <w:rsid w:val="006137AB"/>
    <w:rsid w:val="00C464CD"/>
    <w:rsid w:val="00D83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428A8"/>
  <w15:docId w15:val="{5DB17D44-753A-43D6-AD5B-4F9EC3346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00" w:after="120"/>
      <w:outlineLvl w:val="0"/>
    </w:pPr>
    <w:rPr>
      <w:b/>
      <w:bCs/>
      <w:color w:val="000000"/>
      <w:sz w:val="26"/>
      <w:szCs w:val="26"/>
    </w:rPr>
  </w:style>
  <w:style w:type="paragraph" w:styleId="Heading2">
    <w:name w:val="heading 2"/>
    <w:uiPriority w:val="9"/>
    <w:unhideWhenUsed/>
    <w:qFormat/>
    <w:pPr>
      <w:spacing w:before="240" w:after="100"/>
      <w:outlineLvl w:val="1"/>
    </w:pPr>
    <w:rPr>
      <w:b/>
      <w:bCs/>
      <w:color w:val="000000"/>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after="240"/>
      <w:jc w:val="center"/>
    </w:pPr>
    <w:rPr>
      <w:b/>
      <w:bCs/>
      <w:color w:val="000000"/>
      <w:sz w:val="32"/>
      <w:szCs w:val="32"/>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947</Words>
  <Characters>5402</Characters>
  <Application>Microsoft Office Word</Application>
  <DocSecurity>0</DocSecurity>
  <Lines>45</Lines>
  <Paragraphs>12</Paragraphs>
  <ScaleCrop>false</ScaleCrop>
  <Company/>
  <LinksUpToDate>false</LinksUpToDate>
  <CharactersWithSpaces>6337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O G</cp:lastModifiedBy>
  <cp:revision>2</cp:revision>
  <dcterms:created xsi:type="dcterms:W3CDTF">2026-01-03T00:25:00Z</dcterms:created>
  <dcterms:modified xsi:type="dcterms:W3CDTF">2026-01-03T00:25:00Z</dcterms:modified>
</cp:coreProperties>
</file>